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33" w:rsidRPr="00345BA5" w:rsidRDefault="00B07E33" w:rsidP="00345BA5">
      <w:pPr>
        <w:spacing w:after="12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Warszawa, </w:t>
      </w:r>
      <w:r w:rsidR="00A1562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2588F" w:rsidRPr="00345BA5">
        <w:rPr>
          <w:rFonts w:ascii="Times New Roman" w:eastAsia="Times New Roman" w:hAnsi="Times New Roman" w:cs="Times New Roman"/>
          <w:sz w:val="24"/>
          <w:szCs w:val="24"/>
        </w:rPr>
        <w:t xml:space="preserve"> maja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2020 r.</w:t>
      </w:r>
    </w:p>
    <w:p w:rsidR="00B07E33" w:rsidRPr="00345BA5" w:rsidRDefault="00B07E33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07E33" w:rsidRPr="00345BA5" w:rsidRDefault="00B07E33" w:rsidP="00345BA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Zalecenia</w:t>
      </w:r>
      <w:r w:rsidR="2CC9E827"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Centrum Projektów Europejskich, jako Instytucji Pośredniczącej</w:t>
      </w:r>
    </w:p>
    <w:p w:rsidR="00B07E33" w:rsidRPr="00345BA5" w:rsidRDefault="2CC9E827" w:rsidP="00345BA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dla Beneficjentów Działania 4.3 POWER</w:t>
      </w:r>
    </w:p>
    <w:p w:rsidR="2CC9E827" w:rsidRPr="00345BA5" w:rsidRDefault="2CC9E827" w:rsidP="00345BA5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w zakresie działań możliwych do podjęcia w celu łagodzenia wpływu pandemii </w:t>
      </w:r>
      <w:proofErr w:type="spellStart"/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koronawirusa</w:t>
      </w:r>
      <w:proofErr w:type="spellEnd"/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na realizację projektów współfinansowanych z EFS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Projekty realizowane w ramach EFS są w sposób szczególny narażone na konsekwencje wynikające z ograniczeń związanych z pandemią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koronawirusa</w:t>
      </w:r>
      <w:proofErr w:type="spellEnd"/>
      <w:r w:rsidRPr="00345BA5">
        <w:rPr>
          <w:rFonts w:ascii="Times New Roman" w:eastAsia="Times New Roman" w:hAnsi="Times New Roman" w:cs="Times New Roman"/>
          <w:sz w:val="24"/>
          <w:szCs w:val="24"/>
        </w:rPr>
        <w:t>. Z tego względu, IZ POWER wprowadza szereg działań mających na celu zminimalizowanie wpływu pandemii na realizację projektów, w tym część adresowanych wyłącznie do beneficjentów i uczestników projektów EFS.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Zastosowanie wszelkich rozwiązań stanowiących odstępstwo od przyjętych reguł wdrażania funduszy unijnych powinno znajdować uzasadnienie w wystąpieniu siły wyższej, </w:t>
      </w:r>
      <w:r w:rsidR="00E2588F" w:rsidRPr="00345BA5">
        <w:rPr>
          <w:rFonts w:ascii="Times New Roman" w:eastAsia="Times New Roman" w:hAnsi="Times New Roman" w:cs="Times New Roman"/>
          <w:sz w:val="24"/>
          <w:szCs w:val="24"/>
        </w:rPr>
        <w:t>jaką w 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przedmiotowym przypadku stanowi pandemia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koronawirusa</w:t>
      </w:r>
      <w:proofErr w:type="spellEnd"/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, dlatego skorzystanie z tego typu rozwiązań musi być poprzedzone wnikliwą analizą każdego jednostkowego przypadku. 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>W świetle ugruntowanego orzecznictwa Sądu Najwyższego</w:t>
      </w:r>
      <w:hyperlink r:id="rId8" w:anchor="_ftn1">
        <w:r w:rsidRPr="00345BA5">
          <w:rPr>
            <w:rStyle w:val="Hipercze"/>
            <w:rFonts w:ascii="Times New Roman" w:eastAsia="Times New Roman" w:hAnsi="Times New Roman" w:cs="Times New Roman"/>
            <w:sz w:val="24"/>
            <w:szCs w:val="24"/>
            <w:vertAlign w:val="superscript"/>
          </w:rPr>
          <w:t>[1]</w:t>
        </w:r>
      </w:hyperlink>
      <w:r w:rsidR="005B2384" w:rsidRPr="00345BA5">
        <w:rPr>
          <w:rFonts w:ascii="Times New Roman" w:eastAsia="Times New Roman" w:hAnsi="Times New Roman" w:cs="Times New Roman"/>
          <w:sz w:val="24"/>
          <w:szCs w:val="24"/>
          <w:vertAlign w:val="subscript"/>
        </w:rPr>
        <w:t>,</w:t>
      </w:r>
      <w:r w:rsidRPr="00345B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siłą wyższą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jest zdarzenie:</w:t>
      </w:r>
    </w:p>
    <w:p w:rsidR="2CC9E827" w:rsidRPr="00345BA5" w:rsidRDefault="2CC9E827" w:rsidP="00345BA5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zewnętrzne – mające swe źródło poza podmiotem, z którego działaniem związana jest odpowiedzialność odszkodowawcza, </w:t>
      </w:r>
    </w:p>
    <w:p w:rsidR="2CC9E827" w:rsidRPr="00345BA5" w:rsidRDefault="2CC9E827" w:rsidP="00345BA5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:rsidR="2CC9E827" w:rsidRPr="00345BA5" w:rsidRDefault="2CC9E827" w:rsidP="00345BA5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niemożliwe do zapobieżenia – nie tyle samemu zjawisku, ale szkodliwym jego następstwom przy zastosowaniu współczesnej techniki. 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Ze względu na fakt, </w:t>
      </w:r>
      <w:r w:rsidR="00B07E33" w:rsidRPr="00345BA5">
        <w:rPr>
          <w:rFonts w:ascii="Times New Roman" w:eastAsia="Times New Roman" w:hAnsi="Times New Roman" w:cs="Times New Roman"/>
          <w:sz w:val="24"/>
          <w:szCs w:val="24"/>
        </w:rPr>
        <w:t xml:space="preserve">iż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sytuacja w poszczególnych projektach może być różna i wynikać zarówno ze specyfiki danego projektu, stadium jego realizacji, jak i obszaru działalności beneficjenta,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zasadność podjęcia proponowanych</w:t>
      </w:r>
      <w:r w:rsidRPr="00345B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dodatkowych działań będzie</w:t>
      </w:r>
      <w:r w:rsidRPr="00345B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rozstrzygana indywidualnie.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FBD6273" w:rsidRPr="00345BA5" w:rsidRDefault="00B07E33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Centrum Projektów Europejskich, jako</w:t>
      </w:r>
      <w:r w:rsidR="2CC9E827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Instytucja Pośrednicząca dla Działania 4.3 PO</w:t>
      </w:r>
      <w:r w:rsidR="005B2384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2CC9E827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WER prosi wszystkich Beneficjentów o niezwłoczne zgłaszanie potrzeb i trudności występujących w projektach bezpośrednio do opiekunów projektów.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Poza opisanymi w niniejszym materiale odstępstwami od przyjętych reguł wdrażania funduszy, należy podkreślić, że Beneficjentów w dalszym ciągu obowiązują zapisy umów o dofinansowanie oraz </w:t>
      </w:r>
      <w:r w:rsidRPr="00345B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Wytyczne w zakresie </w:t>
      </w:r>
      <w:proofErr w:type="spellStart"/>
      <w:r w:rsidRPr="00345B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kwalifikowalności</w:t>
      </w:r>
      <w:proofErr w:type="spellEnd"/>
      <w:r w:rsidRPr="00345B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wydatków w ramach Europejskiego Funduszu Rozwoju Regionalnego, Europejskiego Funduszu Społecznego oraz Funduszu Spójności na lata 2014-2020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>Poniżej wskazano działania możliwe do podjęcia w zakresie realizacji i rozliczania projektów: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2CC9E827" w:rsidRPr="00345BA5" w:rsidRDefault="2CC9E827" w:rsidP="00345BA5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Realizacja projektów.</w:t>
      </w:r>
    </w:p>
    <w:p w:rsidR="00B07E33" w:rsidRPr="00345BA5" w:rsidRDefault="2CC9E827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>Jeżeli w wyniku wpływu obecnej sytuacji na realizację danego projektu Beneficjenci będą spodziewać się opóźnień w realizacji projektu, powinni niezwłocznie poinformować o tym fakcie opiekuna projektu w CPE</w:t>
      </w:r>
      <w:r w:rsidR="00B07E33" w:rsidRPr="00345BA5">
        <w:rPr>
          <w:rFonts w:ascii="Times New Roman" w:eastAsia="Times New Roman" w:hAnsi="Times New Roman" w:cs="Times New Roman"/>
          <w:sz w:val="24"/>
          <w:szCs w:val="24"/>
        </w:rPr>
        <w:t xml:space="preserve"> za pośrednictwem systemu SL2014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W zależności od konkretnego przypadku CPE umożliwi dokonanie zmiany wniosku </w:t>
      </w:r>
      <w:r w:rsidR="005B2384" w:rsidRPr="00345BA5">
        <w:rPr>
          <w:rFonts w:ascii="Times New Roman" w:eastAsia="Times New Roman" w:hAnsi="Times New Roman" w:cs="Times New Roman"/>
          <w:sz w:val="24"/>
          <w:szCs w:val="24"/>
        </w:rPr>
        <w:t>o 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dofinansowanie (i/lub umowy o dofinansowanie).</w:t>
      </w:r>
    </w:p>
    <w:p w:rsidR="00B07E33" w:rsidRDefault="2CC9E827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>Zmiany będą mogły dotyczyć np.: harmonogramu realizacji projektu (przesuwanie zaplanowanych działań w czasie, wydłużanie okresu realizacji projektu), zmiany form zaplanowanych działań / form wsparcia dla uczestników projektu na formy zdalne, zmiany budżetu projektu w miarę dostępnych środków (np.: dodatkowe wydatki związane z</w:t>
      </w:r>
      <w:r w:rsidR="453DCC93" w:rsidRPr="00345B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zapewnieniem bezpieczeństwa uczestnikom/personelowi) itp. </w:t>
      </w:r>
    </w:p>
    <w:p w:rsidR="00596C36" w:rsidRPr="00596C36" w:rsidRDefault="00596C36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Wraz w wejściem w życie 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z dniem 18.04.2020 r. Ustawy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o szczególnych rozwiązaniach wspierających realizację programów operacyjnych w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związku z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wystąpieniem COVID-19 w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> 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2020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r.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>. z 2020 r. poz. 694)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, okres realizacji wszystkich projektów został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wydłużony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o 90 dni, jednak nie dłużej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niż do 31 grudnia 2023 r., natomiast terminy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składania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wniosków o płatność, których złożenie</w:t>
      </w:r>
      <w:r w:rsidR="003A4A34"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przypada w okresie do dnia 31 grudnia 2020 r. wydłużone</w:t>
      </w:r>
      <w:r>
        <w:rPr>
          <w:rFonts w:ascii="Times New Roman" w:hAnsi="Times New Roman" w:cs="Times New Roman"/>
          <w:sz w:val="24"/>
          <w:szCs w:val="24"/>
          <w:shd w:val="clear" w:color="auto" w:fill="FAF9F8"/>
        </w:rPr>
        <w:t xml:space="preserve"> </w:t>
      </w:r>
      <w:r w:rsidRPr="00596C36">
        <w:rPr>
          <w:rFonts w:ascii="Times New Roman" w:hAnsi="Times New Roman" w:cs="Times New Roman"/>
          <w:sz w:val="24"/>
          <w:szCs w:val="24"/>
          <w:shd w:val="clear" w:color="auto" w:fill="FAF9F8"/>
        </w:rPr>
        <w:t>zostały o 30 dni (art. 13 ustawy).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>W przypadku, gdy obowiązujące kryteria wyboru projektów uniemożliwiają wprowadzenie zmian do projektu, należy skontaktować się opiekunem projektu.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2CC9E827" w:rsidRPr="00345BA5" w:rsidRDefault="2CC9E827" w:rsidP="00DD1ACC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proofErr w:type="spellStart"/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Kwalifikowalność</w:t>
      </w:r>
      <w:proofErr w:type="spellEnd"/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wydatków.</w:t>
      </w:r>
    </w:p>
    <w:p w:rsidR="2CC9E827" w:rsidRPr="00345BA5" w:rsidRDefault="2CC9E827" w:rsidP="00345BA5">
      <w:pPr>
        <w:pStyle w:val="Akapitzlist"/>
        <w:numPr>
          <w:ilvl w:val="0"/>
          <w:numId w:val="3"/>
        </w:numPr>
        <w:spacing w:after="120" w:line="276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Jeśli z powodu ryzyka zakażenia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koronawirusem</w:t>
      </w:r>
      <w:proofErr w:type="spellEnd"/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określone działania w projekcie się nie odbędą, a poniesiono już koszty z tym związane lub będą one musiały zostać poniesione (np. bilety lotnicze i kolejowe, hotel itp.), taka sytuacja powinna być uznana za działanie siły wyższej. 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Kwalifikowanie wydatków związanych z odwoływanymi w związku z zagrożeniem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koronawirusem</w:t>
      </w:r>
      <w:proofErr w:type="spellEnd"/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wizyt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ami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zagraniczny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mi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i krajowy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mi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, szkole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niami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, konferencj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i, spotka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niami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, inny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mi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form</w:t>
      </w:r>
      <w:r w:rsidR="00917A73" w:rsidRPr="00345BA5">
        <w:rPr>
          <w:rFonts w:ascii="Times New Roman" w:eastAsia="Times New Roman" w:hAnsi="Times New Roman" w:cs="Times New Roman"/>
          <w:sz w:val="24"/>
          <w:szCs w:val="24"/>
        </w:rPr>
        <w:t>ami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wsparcia będzie możliwe pod warunkiem: </w:t>
      </w:r>
    </w:p>
    <w:p w:rsidR="2CC9E827" w:rsidRPr="00345BA5" w:rsidRDefault="2CC9E827" w:rsidP="00345BA5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zaciągnięcia przez beneficjenta zobowiązań na ten cel przed 11.03.2020</w:t>
      </w:r>
      <w:r w:rsidR="00B07E33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2CC9E827" w:rsidRPr="00345BA5" w:rsidRDefault="2CC9E827" w:rsidP="00345BA5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udokumentowania braku możliwości odzyskania poniesionych na ten cel środków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(odzyskania kosztów rezerwacji lub zaliczek od dostawców i usługodawców zakończyło się niepowodzeniem) oraz </w:t>
      </w:r>
    </w:p>
    <w:p w:rsidR="00B07E33" w:rsidRPr="00345BA5" w:rsidRDefault="2CC9E827" w:rsidP="00345BA5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przekazania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uzasadnienia powodów odwołania planowanej formy wsparcia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(np.</w:t>
      </w:r>
      <w:r w:rsidR="000B4CFD" w:rsidRPr="00345B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ograniczone możliwości wjazdu do danego kraju w związku z zagrożeniem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koronawirusem</w:t>
      </w:r>
      <w:proofErr w:type="spellEnd"/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, braku zgody uczestników projektu na udział np. w szkoleniu). </w:t>
      </w:r>
    </w:p>
    <w:p w:rsidR="2CC9E827" w:rsidRPr="00345BA5" w:rsidRDefault="2CC9E827" w:rsidP="00345BA5">
      <w:pPr>
        <w:pStyle w:val="Akapitzlist"/>
        <w:spacing w:after="120"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Uznanie poniesionych wydatków za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kwalifikowalne</w:t>
      </w:r>
      <w:proofErr w:type="spellEnd"/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będzie dokonywane przez IP </w:t>
      </w:r>
      <w:r w:rsidR="00B07E33" w:rsidRPr="00345BA5">
        <w:rPr>
          <w:rFonts w:ascii="Times New Roman" w:eastAsia="Times New Roman" w:hAnsi="Times New Roman" w:cs="Times New Roman"/>
          <w:sz w:val="24"/>
          <w:szCs w:val="24"/>
        </w:rPr>
        <w:t>PO</w:t>
      </w:r>
      <w:r w:rsidR="000B4CFD" w:rsidRPr="00345BA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07E33" w:rsidRPr="00345BA5">
        <w:rPr>
          <w:rFonts w:ascii="Times New Roman" w:eastAsia="Times New Roman" w:hAnsi="Times New Roman" w:cs="Times New Roman"/>
          <w:sz w:val="24"/>
          <w:szCs w:val="24"/>
        </w:rPr>
        <w:t xml:space="preserve">WER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po dokonaniu wnikliwej analizy, w szczególności, czy poszczególni Beneficjenci podejmowali niezbędne starania związane z odwołaniem spotkania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lastRenderedPageBreak/>
        <w:t>i</w:t>
      </w:r>
      <w:r w:rsidR="000B4CFD" w:rsidRPr="00345B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odzyskaniem zapłaconych w ramach projektów środków oraz czy te starania podejmowane były z odpowiednim wyprzedzeniem.</w:t>
      </w:r>
    </w:p>
    <w:p w:rsidR="537E67DA" w:rsidRPr="00345BA5" w:rsidRDefault="537E67DA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Poniesienie tych </w:t>
      </w:r>
      <w:r w:rsidR="11B21F57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wydatków</w:t>
      </w:r>
      <w:r w:rsidR="68DE4958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mus</w:t>
      </w:r>
      <w:r w:rsidR="60F33FD6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68DE4958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być udokumentowane, zgodnie z ogólnymi</w:t>
      </w:r>
      <w:r w:rsidR="29916482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68DE4958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zasadami </w:t>
      </w:r>
      <w:r w:rsidR="0F9E862F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obowiązującymi</w:t>
      </w:r>
      <w:r w:rsidR="68DE4958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projektach EF</w:t>
      </w:r>
      <w:r w:rsidR="16AD3CF7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6CF868EB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wymaganiami IP dla Działania 4.3 PO</w:t>
      </w:r>
      <w:r w:rsidR="000B4CFD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6CF868EB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WER</w:t>
      </w:r>
      <w:r w:rsidR="16AD3CF7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B07E33" w:rsidRPr="00345BA5" w:rsidRDefault="2CC9E827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Beneficjenci powinni </w:t>
      </w:r>
      <w:r w:rsidR="0FA063E9" w:rsidRPr="00345BA5">
        <w:rPr>
          <w:rFonts w:ascii="Times New Roman" w:eastAsia="Times New Roman" w:hAnsi="Times New Roman" w:cs="Times New Roman"/>
          <w:sz w:val="24"/>
          <w:szCs w:val="24"/>
        </w:rPr>
        <w:t xml:space="preserve">także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podjąć działania w celu zminimalizowania kosztów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powstałych w związku z odwoływanymi spotkaniami, np. odzyskać część lub całość środków od organizatorów spotkań, zwrócić bilety lotnicze (niektóre linie lotnicze prowadzają możliwość bezpłatnej zmiany rezerwacji lotu), etc. </w:t>
      </w:r>
    </w:p>
    <w:p w:rsidR="00DD1ACC" w:rsidRPr="00DD1ACC" w:rsidRDefault="2CC9E827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>W szczególności Beneficjenci powinni ograniczyć planowanie i organizowanie nowych wyjazdów zagranicznych do czasu unormowania sytuacji w Polsce i krajach docelowych. W</w:t>
      </w:r>
      <w:r w:rsidR="000B4CFD" w:rsidRPr="00345B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stosunku do wyjazdów i delegacji zagranicznych zaplanowanych wcześniej, decyzja o</w:t>
      </w:r>
      <w:r w:rsidR="000B4CFD" w:rsidRPr="00345B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tym, czy planowana w projekcie forma wsparcia taka jak wizyta, szkolenie, konferencja lub</w:t>
      </w:r>
      <w:r w:rsidR="000B4CFD" w:rsidRPr="00345B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mobilność ma dojść do skutku, należy ostatecznie do uczestników projektu.</w:t>
      </w:r>
      <w:r w:rsidR="00DD1A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Wszystkie przypadki kwalifikowania wydatków na działania projektowe niezrealizowane w związku z zagrożeniem epidemiologicznym będą rozpatrywane przez IP </w:t>
      </w:r>
      <w:r w:rsidR="00B07E33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PO</w:t>
      </w:r>
      <w:r w:rsidR="000B4CFD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B07E33"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WER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indywidualnie, po dokonaniu oceny rzeczywistego wpływu obecnej sytuacji na realizację danego projektu.</w:t>
      </w:r>
    </w:p>
    <w:p w:rsidR="2CC9E827" w:rsidRPr="00345BA5" w:rsidRDefault="2CC9E82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2CC9E827" w:rsidRPr="00345BA5" w:rsidRDefault="2CC9E827" w:rsidP="00345BA5">
      <w:pPr>
        <w:pStyle w:val="Akapitzlist"/>
        <w:numPr>
          <w:ilvl w:val="0"/>
          <w:numId w:val="3"/>
        </w:num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W przypadku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kosztów funkcjonowania placówek utworzonych ze środków EFS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>, takich jak np. placówki opieki nad dziećmi do lat trzech – możliwe będzie kwalifikowanie kosztów stałych funkcjonowania miejsc opieki (w tym kosztów personelu), które muszą być ponoszone pomimo braku dzieci w placówce,</w:t>
      </w:r>
    </w:p>
    <w:p w:rsidR="2CC9E827" w:rsidRPr="00345BA5" w:rsidRDefault="2CC9E827" w:rsidP="00345BA5">
      <w:pPr>
        <w:pStyle w:val="Akapitzlist"/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2CC9E827" w:rsidRPr="00345BA5" w:rsidRDefault="2CC9E827" w:rsidP="00345BA5">
      <w:pPr>
        <w:pStyle w:val="Akapitzlist"/>
        <w:numPr>
          <w:ilvl w:val="0"/>
          <w:numId w:val="3"/>
        </w:num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W przypadku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stypendiów stażowych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- uznawanie oświadczeń uczestników dotyczących między innymi konieczności opieki nad dzieckiem w wieku do lat 8, oświadczeń uczestników o zawieszeniu działalności przedsiębiorstwa, w którym odbywa się staż, oświadczeń uczestników o konieczności przebywania uczestnika w miejscu zamieszkania jako wystarczającego potwierdzenia udokumentowanej niezdolności do wykonywania zadań (mając na uwadze troskę o dobro wszystkich zaangażowanych w te procesy osób rekomenduję honorowanie ww. oświadczeń bez konieczności osobistego lub elektronicznego podpisu w momencie ich składania - w miarę możliwości takie podpisy można zebrać od uczestników po zmniejszeniu zagrożenia epidemiologicznego w kraju).</w:t>
      </w:r>
    </w:p>
    <w:p w:rsidR="2CC9E827" w:rsidRPr="00345BA5" w:rsidRDefault="2CC9E827" w:rsidP="00345BA5">
      <w:pPr>
        <w:pStyle w:val="Akapitzlist"/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7E33" w:rsidRPr="00345BA5" w:rsidRDefault="2CC9E827" w:rsidP="00345BA5">
      <w:pPr>
        <w:pStyle w:val="Akapitzlist"/>
        <w:numPr>
          <w:ilvl w:val="0"/>
          <w:numId w:val="3"/>
        </w:num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W przypadku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szkoleń/studiów w formie stacjonarnej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należy zamienić na formę zdalną. Oznacza to, że szkoły/uczelnie powinny świadczyć kształcenie w formie niestacjonarnej przy zachowaniu możliwie dobrej jakości nauczania. Decyzję co do formy pracy ze studentami (wideokonferencja ze studentami, zainstalowanie platformy edukacyjnej, ćwiczenia zdalne i odbiór prac studentów wraz z omówieniem postępów w nauce) należy do Beneficjentów. Pracę zdalną można będzie rozliczyć w pełnej wysokości, ponieważ zakładamy, że personel będzie zaangażowany w komunikację ze studentami/uczestnikami 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szkoleń, być może nawet w większym wymiarze godzinowym (omówienie wyników prac, sprawdzenie ich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itp</w:t>
      </w:r>
      <w:proofErr w:type="spellEnd"/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B07E33" w:rsidRPr="00345BA5" w:rsidRDefault="00B07E33" w:rsidP="00345BA5">
      <w:pPr>
        <w:pStyle w:val="Akapitzlist"/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2CC9E827" w:rsidRPr="00345BA5" w:rsidRDefault="2CC9E827" w:rsidP="00345BA5">
      <w:pPr>
        <w:pStyle w:val="Akapitzlist"/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W związku z takim trybem realizacji zajęć ograniczona może być możliwość pozyskania podpisanej listy obecności uczestników wsparcia. Zgodnie z interpretacją jaką CPE uzyskało od IZ POWER, w takich sytuacjach możliwe będzie potwierdzanie liczby osób </w:t>
      </w:r>
      <w:r w:rsidR="00D934A1" w:rsidRPr="00345BA5">
        <w:rPr>
          <w:rFonts w:ascii="Times New Roman" w:eastAsia="Times New Roman" w:hAnsi="Times New Roman" w:cs="Times New Roman"/>
          <w:sz w:val="24"/>
          <w:szCs w:val="24"/>
        </w:rPr>
        <w:t>biorących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udział we wsparciu w postaci oświadczenia Beneficjenta o realizacji zajęć dla danej liczby uczestników.</w:t>
      </w:r>
    </w:p>
    <w:p w:rsidR="610CA21C" w:rsidRPr="00345BA5" w:rsidRDefault="610CA21C" w:rsidP="00345BA5">
      <w:pPr>
        <w:spacing w:after="120" w:line="276" w:lineRule="auto"/>
        <w:ind w:left="-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73082B42" w:rsidRPr="00345BA5" w:rsidRDefault="73082B42" w:rsidP="00345BA5">
      <w:pPr>
        <w:pStyle w:val="Akapitzlist"/>
        <w:numPr>
          <w:ilvl w:val="0"/>
          <w:numId w:val="3"/>
        </w:numPr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W przypadku </w:t>
      </w: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śmierci pracownika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, w projekcie mogą </w:t>
      </w:r>
      <w:r w:rsidR="4C9489AE" w:rsidRPr="00345BA5">
        <w:rPr>
          <w:rFonts w:ascii="Times New Roman" w:eastAsia="Times New Roman" w:hAnsi="Times New Roman" w:cs="Times New Roman"/>
          <w:sz w:val="24"/>
          <w:szCs w:val="24"/>
        </w:rPr>
        <w:t xml:space="preserve">być </w:t>
      </w:r>
      <w:proofErr w:type="spellStart"/>
      <w:r w:rsidR="4C9489AE" w:rsidRPr="00345BA5">
        <w:rPr>
          <w:rFonts w:ascii="Times New Roman" w:eastAsia="Times New Roman" w:hAnsi="Times New Roman" w:cs="Times New Roman"/>
          <w:sz w:val="24"/>
          <w:szCs w:val="24"/>
        </w:rPr>
        <w:t>kwalifikowalne</w:t>
      </w:r>
      <w:proofErr w:type="spellEnd"/>
      <w:r w:rsidR="4C9489AE" w:rsidRPr="00345BA5">
        <w:rPr>
          <w:rFonts w:ascii="Times New Roman" w:eastAsia="Times New Roman" w:hAnsi="Times New Roman" w:cs="Times New Roman"/>
          <w:sz w:val="24"/>
          <w:szCs w:val="24"/>
        </w:rPr>
        <w:t xml:space="preserve"> wydatki związane z wynagrodzeniem za okres przepracowany w projekcie oraz ekwiwal</w:t>
      </w:r>
      <w:r w:rsidR="0FB6435B" w:rsidRPr="00345BA5">
        <w:rPr>
          <w:rFonts w:ascii="Times New Roman" w:eastAsia="Times New Roman" w:hAnsi="Times New Roman" w:cs="Times New Roman"/>
          <w:sz w:val="24"/>
          <w:szCs w:val="24"/>
        </w:rPr>
        <w:t>e</w:t>
      </w:r>
      <w:r w:rsidR="4C9489AE" w:rsidRPr="00345BA5">
        <w:rPr>
          <w:rFonts w:ascii="Times New Roman" w:eastAsia="Times New Roman" w:hAnsi="Times New Roman" w:cs="Times New Roman"/>
          <w:sz w:val="24"/>
          <w:szCs w:val="24"/>
        </w:rPr>
        <w:t>n</w:t>
      </w:r>
      <w:r w:rsidR="3A319451" w:rsidRPr="00345BA5">
        <w:rPr>
          <w:rFonts w:ascii="Times New Roman" w:eastAsia="Times New Roman" w:hAnsi="Times New Roman" w:cs="Times New Roman"/>
          <w:sz w:val="24"/>
          <w:szCs w:val="24"/>
        </w:rPr>
        <w:t>t</w:t>
      </w:r>
      <w:r w:rsidR="4C9489AE" w:rsidRPr="00345B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7E33" w:rsidRPr="00345BA5">
        <w:rPr>
          <w:rFonts w:ascii="Times New Roman" w:eastAsia="Times New Roman" w:hAnsi="Times New Roman" w:cs="Times New Roman"/>
          <w:sz w:val="24"/>
          <w:szCs w:val="24"/>
        </w:rPr>
        <w:br/>
      </w:r>
      <w:r w:rsidR="4C9489AE" w:rsidRPr="00345BA5">
        <w:rPr>
          <w:rFonts w:ascii="Times New Roman" w:eastAsia="Times New Roman" w:hAnsi="Times New Roman" w:cs="Times New Roman"/>
          <w:sz w:val="24"/>
          <w:szCs w:val="24"/>
        </w:rPr>
        <w:t>za niewykorzy</w:t>
      </w:r>
      <w:r w:rsidR="7347D1BB" w:rsidRPr="00345BA5">
        <w:rPr>
          <w:rFonts w:ascii="Times New Roman" w:eastAsia="Times New Roman" w:hAnsi="Times New Roman" w:cs="Times New Roman"/>
          <w:sz w:val="24"/>
          <w:szCs w:val="24"/>
        </w:rPr>
        <w:t>st</w:t>
      </w:r>
      <w:r w:rsidR="4C9489AE" w:rsidRPr="00345BA5">
        <w:rPr>
          <w:rFonts w:ascii="Times New Roman" w:eastAsia="Times New Roman" w:hAnsi="Times New Roman" w:cs="Times New Roman"/>
          <w:sz w:val="24"/>
          <w:szCs w:val="24"/>
        </w:rPr>
        <w:t>any urlop wypoczynkowy, o ile dotyczy on okresu, w którym pracownik ten był zatrudniony w projekcie.</w:t>
      </w:r>
      <w:r w:rsidR="33A47AAE" w:rsidRPr="00345BA5">
        <w:rPr>
          <w:rFonts w:ascii="Times New Roman" w:eastAsia="Times New Roman" w:hAnsi="Times New Roman" w:cs="Times New Roman"/>
          <w:sz w:val="24"/>
          <w:szCs w:val="24"/>
        </w:rPr>
        <w:t xml:space="preserve"> W odniesieniu do odprawy pośmiertnej, o której mowa </w:t>
      </w:r>
      <w:r w:rsidR="00B07E33" w:rsidRPr="00345BA5">
        <w:rPr>
          <w:rFonts w:ascii="Times New Roman" w:eastAsia="Times New Roman" w:hAnsi="Times New Roman" w:cs="Times New Roman"/>
          <w:sz w:val="24"/>
          <w:szCs w:val="24"/>
        </w:rPr>
        <w:br/>
      </w:r>
      <w:r w:rsidR="33A47AAE" w:rsidRPr="00345BA5">
        <w:rPr>
          <w:rFonts w:ascii="Times New Roman" w:eastAsia="Times New Roman" w:hAnsi="Times New Roman" w:cs="Times New Roman"/>
          <w:sz w:val="24"/>
          <w:szCs w:val="24"/>
        </w:rPr>
        <w:t xml:space="preserve">w art.. 93 par 1 Kodeksu Pracy, nie powinna zostać uznana za </w:t>
      </w:r>
      <w:proofErr w:type="spellStart"/>
      <w:r w:rsidR="33A47AAE" w:rsidRPr="00345BA5">
        <w:rPr>
          <w:rFonts w:ascii="Times New Roman" w:eastAsia="Times New Roman" w:hAnsi="Times New Roman" w:cs="Times New Roman"/>
          <w:sz w:val="24"/>
          <w:szCs w:val="24"/>
        </w:rPr>
        <w:t>kwalifikowalny</w:t>
      </w:r>
      <w:proofErr w:type="spellEnd"/>
      <w:r w:rsidR="33A47AAE" w:rsidRPr="00345BA5">
        <w:rPr>
          <w:rFonts w:ascii="Times New Roman" w:eastAsia="Times New Roman" w:hAnsi="Times New Roman" w:cs="Times New Roman"/>
          <w:sz w:val="24"/>
          <w:szCs w:val="24"/>
        </w:rPr>
        <w:t xml:space="preserve"> wydatek projektu ponieważ, podobnie jak nagrody jubileuszowe i odprawy </w:t>
      </w:r>
      <w:r w:rsidR="54F8F2C3" w:rsidRPr="00345BA5">
        <w:rPr>
          <w:rFonts w:ascii="Times New Roman" w:eastAsia="Times New Roman" w:hAnsi="Times New Roman" w:cs="Times New Roman"/>
          <w:sz w:val="24"/>
          <w:szCs w:val="24"/>
        </w:rPr>
        <w:t xml:space="preserve">pracownicze </w:t>
      </w:r>
      <w:r w:rsidR="00B07E33" w:rsidRPr="00345BA5">
        <w:rPr>
          <w:rFonts w:ascii="Times New Roman" w:eastAsia="Times New Roman" w:hAnsi="Times New Roman" w:cs="Times New Roman"/>
          <w:sz w:val="24"/>
          <w:szCs w:val="24"/>
        </w:rPr>
        <w:br/>
      </w:r>
      <w:r w:rsidR="54F8F2C3" w:rsidRPr="00345BA5">
        <w:rPr>
          <w:rFonts w:ascii="Times New Roman" w:eastAsia="Times New Roman" w:hAnsi="Times New Roman" w:cs="Times New Roman"/>
          <w:sz w:val="24"/>
          <w:szCs w:val="24"/>
        </w:rPr>
        <w:t>dla personelu proj</w:t>
      </w:r>
      <w:r w:rsidR="53060275" w:rsidRPr="00345BA5">
        <w:rPr>
          <w:rFonts w:ascii="Times New Roman" w:eastAsia="Times New Roman" w:hAnsi="Times New Roman" w:cs="Times New Roman"/>
          <w:sz w:val="24"/>
          <w:szCs w:val="24"/>
        </w:rPr>
        <w:t>e</w:t>
      </w:r>
      <w:r w:rsidR="54F8F2C3" w:rsidRPr="00345BA5">
        <w:rPr>
          <w:rFonts w:ascii="Times New Roman" w:eastAsia="Times New Roman" w:hAnsi="Times New Roman" w:cs="Times New Roman"/>
          <w:sz w:val="24"/>
          <w:szCs w:val="24"/>
        </w:rPr>
        <w:t xml:space="preserve">ktu, nie spełnia wszystkich warunków </w:t>
      </w:r>
      <w:proofErr w:type="spellStart"/>
      <w:r w:rsidR="54F8F2C3" w:rsidRPr="00345BA5">
        <w:rPr>
          <w:rFonts w:ascii="Times New Roman" w:eastAsia="Times New Roman" w:hAnsi="Times New Roman" w:cs="Times New Roman"/>
          <w:sz w:val="24"/>
          <w:szCs w:val="24"/>
        </w:rPr>
        <w:t>kwalifikowalności</w:t>
      </w:r>
      <w:proofErr w:type="spellEnd"/>
      <w:r w:rsidR="54F8F2C3" w:rsidRPr="00345BA5">
        <w:rPr>
          <w:rFonts w:ascii="Times New Roman" w:eastAsia="Times New Roman" w:hAnsi="Times New Roman" w:cs="Times New Roman"/>
          <w:sz w:val="24"/>
          <w:szCs w:val="24"/>
        </w:rPr>
        <w:t xml:space="preserve"> (pkt. 3 lit f podrozdział 6.2 Wytycznych </w:t>
      </w:r>
      <w:proofErr w:type="spellStart"/>
      <w:r w:rsidR="54F8F2C3" w:rsidRPr="00345BA5">
        <w:rPr>
          <w:rFonts w:ascii="Times New Roman" w:eastAsia="Times New Roman" w:hAnsi="Times New Roman" w:cs="Times New Roman"/>
          <w:sz w:val="24"/>
          <w:szCs w:val="24"/>
        </w:rPr>
        <w:t>kwalifikowalności</w:t>
      </w:r>
      <w:proofErr w:type="spellEnd"/>
      <w:r w:rsidR="54F8F2C3" w:rsidRPr="00345BA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5B6D614F" w:rsidRPr="00345BA5" w:rsidRDefault="5B6D614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1B09C33" w:rsidRPr="00345BA5" w:rsidRDefault="01B09C33" w:rsidP="00345BA5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b/>
          <w:bCs/>
          <w:sz w:val="24"/>
          <w:szCs w:val="24"/>
        </w:rPr>
        <w:t>Oznaczanie wydatków we wnioskach o płatność.</w:t>
      </w:r>
    </w:p>
    <w:p w:rsidR="00DD1ACC" w:rsidRDefault="01B09C33" w:rsidP="00345BA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BA5">
        <w:rPr>
          <w:rFonts w:ascii="Times New Roman" w:eastAsia="Times New Roman" w:hAnsi="Times New Roman" w:cs="Times New Roman"/>
          <w:sz w:val="24"/>
          <w:szCs w:val="24"/>
        </w:rPr>
        <w:t>W przypadku</w:t>
      </w:r>
      <w:r w:rsidR="6CA58174" w:rsidRPr="00345BA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jeśli Beneficjent będzie rozliczał wydatki, o których mowa w pkt. II </w:t>
      </w:r>
      <w:proofErr w:type="spellStart"/>
      <w:r w:rsidRPr="00345BA5">
        <w:rPr>
          <w:rFonts w:ascii="Times New Roman" w:eastAsia="Times New Roman" w:hAnsi="Times New Roman" w:cs="Times New Roman"/>
          <w:sz w:val="24"/>
          <w:szCs w:val="24"/>
        </w:rPr>
        <w:t>ppkt</w:t>
      </w:r>
      <w:proofErr w:type="spellEnd"/>
      <w:r w:rsidR="298DC3D4" w:rsidRPr="00345BA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5BA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DD1ACC">
        <w:rPr>
          <w:rFonts w:ascii="Times New Roman" w:eastAsia="Times New Roman" w:hAnsi="Times New Roman" w:cs="Times New Roman"/>
          <w:sz w:val="24"/>
          <w:szCs w:val="24"/>
        </w:rPr>
        <w:t xml:space="preserve">, powinien: </w:t>
      </w:r>
    </w:p>
    <w:p w:rsidR="00032CCB" w:rsidRPr="00403C83" w:rsidRDefault="01B09C33" w:rsidP="00403C83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83">
        <w:rPr>
          <w:rFonts w:ascii="Times New Roman" w:eastAsia="Times New Roman" w:hAnsi="Times New Roman" w:cs="Times New Roman"/>
          <w:sz w:val="24"/>
          <w:szCs w:val="24"/>
        </w:rPr>
        <w:t xml:space="preserve">w „Zestawieniu wydatków” we wniosku o płatność w komórce „Nazwa towaru lub usługi” po opisie wydatku </w:t>
      </w:r>
      <w:r w:rsidR="0023701B" w:rsidRPr="00403C83">
        <w:rPr>
          <w:rFonts w:ascii="Times New Roman" w:eastAsia="Times New Roman" w:hAnsi="Times New Roman" w:cs="Times New Roman"/>
          <w:sz w:val="24"/>
          <w:szCs w:val="24"/>
        </w:rPr>
        <w:t>dopisać</w:t>
      </w:r>
      <w:r w:rsidR="00DB3597" w:rsidRPr="00403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3C83">
        <w:rPr>
          <w:rFonts w:ascii="Times New Roman" w:eastAsia="Times New Roman" w:hAnsi="Times New Roman" w:cs="Times New Roman"/>
          <w:sz w:val="24"/>
          <w:szCs w:val="24"/>
        </w:rPr>
        <w:t>„COVID-19”</w:t>
      </w:r>
      <w:r w:rsidR="00032CCB" w:rsidRPr="00403C8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1B09C33" w:rsidRPr="00403C83" w:rsidRDefault="00032CCB" w:rsidP="00403C83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3C83">
        <w:rPr>
          <w:rFonts w:ascii="Times New Roman" w:eastAsia="Times New Roman" w:hAnsi="Times New Roman" w:cs="Times New Roman"/>
          <w:sz w:val="24"/>
          <w:szCs w:val="24"/>
        </w:rPr>
        <w:t>w „Zestawieniu wydatków” we wniosku o płatność w</w:t>
      </w:r>
      <w:r w:rsidR="01B09C33" w:rsidRPr="00403C83">
        <w:rPr>
          <w:rFonts w:ascii="Times New Roman" w:eastAsia="Times New Roman" w:hAnsi="Times New Roman" w:cs="Times New Roman"/>
          <w:sz w:val="24"/>
          <w:szCs w:val="24"/>
        </w:rPr>
        <w:t xml:space="preserve"> komórce „Uwagi” </w:t>
      </w:r>
      <w:r w:rsidR="6CFA94EF" w:rsidRPr="00403C83">
        <w:rPr>
          <w:rFonts w:ascii="Times New Roman" w:eastAsia="Times New Roman" w:hAnsi="Times New Roman" w:cs="Times New Roman"/>
          <w:sz w:val="24"/>
          <w:szCs w:val="24"/>
        </w:rPr>
        <w:t>wpisa</w:t>
      </w:r>
      <w:r w:rsidR="441E7E8B" w:rsidRPr="00403C83">
        <w:rPr>
          <w:rFonts w:ascii="Times New Roman" w:eastAsia="Times New Roman" w:hAnsi="Times New Roman" w:cs="Times New Roman"/>
          <w:sz w:val="24"/>
          <w:szCs w:val="24"/>
        </w:rPr>
        <w:t>ć</w:t>
      </w:r>
      <w:r w:rsidR="6CFA94EF" w:rsidRPr="00403C83">
        <w:rPr>
          <w:rFonts w:ascii="Times New Roman" w:eastAsia="Times New Roman" w:hAnsi="Times New Roman" w:cs="Times New Roman"/>
          <w:sz w:val="24"/>
          <w:szCs w:val="24"/>
        </w:rPr>
        <w:t xml:space="preserve"> następujące zdanie: </w:t>
      </w:r>
      <w:r w:rsidR="01B09C33" w:rsidRPr="00403C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„W</w:t>
      </w:r>
      <w:r w:rsidR="01B09C33" w:rsidRPr="00403C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ydatek poniesiono na wydarzenie, które się nie odbyło ze względu na obowiązujące ograniczenia w trakcie epidemii COVID-19</w:t>
      </w:r>
      <w:r w:rsidR="01B09C33" w:rsidRPr="00403C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”</w:t>
      </w:r>
      <w:r w:rsidR="00DD1ACC" w:rsidRPr="00403C8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32CCB" w:rsidRPr="00403C83" w:rsidRDefault="00032CCB" w:rsidP="00403C83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C83">
        <w:rPr>
          <w:rFonts w:ascii="Times New Roman" w:eastAsia="Times New Roman" w:hAnsi="Times New Roman" w:cs="Times New Roman"/>
          <w:sz w:val="24"/>
          <w:szCs w:val="24"/>
        </w:rPr>
        <w:t xml:space="preserve">w „Zestawieniu wydatków” we wniosku o płatność w komórce „Kategoria podlegająca limitom” wpisać „nie dotyczy”. </w:t>
      </w:r>
      <w:r w:rsidRPr="00403C83">
        <w:rPr>
          <w:rFonts w:ascii="Times New Roman" w:eastAsia="Times New Roman" w:hAnsi="Times New Roman" w:cs="Times New Roman"/>
          <w:b/>
          <w:sz w:val="24"/>
          <w:szCs w:val="24"/>
        </w:rPr>
        <w:t>NIE NALEŻY</w:t>
      </w:r>
      <w:r w:rsidRPr="00403C83">
        <w:rPr>
          <w:rFonts w:ascii="Times New Roman" w:eastAsia="Times New Roman" w:hAnsi="Times New Roman" w:cs="Times New Roman"/>
          <w:sz w:val="24"/>
          <w:szCs w:val="24"/>
        </w:rPr>
        <w:t xml:space="preserve"> w tej komórce zaznaczać wartości „COVID-19”;</w:t>
      </w:r>
    </w:p>
    <w:p w:rsidR="01B09C33" w:rsidRPr="00403C83" w:rsidRDefault="007034D5" w:rsidP="00403C83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3C83">
        <w:rPr>
          <w:rFonts w:ascii="Times New Roman" w:eastAsia="Times New Roman" w:hAnsi="Times New Roman" w:cs="Times New Roman"/>
          <w:sz w:val="24"/>
          <w:szCs w:val="24"/>
        </w:rPr>
        <w:t>w</w:t>
      </w:r>
      <w:r w:rsidR="575155B3" w:rsidRPr="00403C83">
        <w:rPr>
          <w:rFonts w:ascii="Times New Roman" w:eastAsia="Times New Roman" w:hAnsi="Times New Roman" w:cs="Times New Roman"/>
          <w:sz w:val="24"/>
          <w:szCs w:val="24"/>
        </w:rPr>
        <w:t xml:space="preserve"> opisie dokumentu księgowego zamieścić informację:</w:t>
      </w:r>
      <w:r w:rsidR="64E2069A" w:rsidRPr="00403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1B09C33" w:rsidRPr="00403C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„</w:t>
      </w:r>
      <w:r w:rsidR="01B09C33" w:rsidRPr="00403C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Wydatek poniesiono na wydarzenie, które się nie odbyło ze względu na obowiązujące ograniczenia w trakcie epidemii COVID-19</w:t>
      </w:r>
      <w:r w:rsidR="01B09C33" w:rsidRPr="00403C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”</w:t>
      </w:r>
      <w:r w:rsidR="00032CCB" w:rsidRPr="00403C83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032CCB" w:rsidRPr="00403C83" w:rsidRDefault="00032CCB" w:rsidP="00403C83">
      <w:pPr>
        <w:pStyle w:val="Akapitzlist"/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>składając wniosek o płatność dołączyć do niego lub przesłać za pomocą modułu korespondencja w systemie SL2014 dokumentację do ws</w:t>
      </w:r>
      <w:r w:rsidR="00CC0AB3" w:rsidRPr="00403C83">
        <w:rPr>
          <w:rFonts w:ascii="Times New Roman" w:eastAsia="Times New Roman" w:hAnsi="Times New Roman" w:cs="Times New Roman"/>
          <w:bCs/>
          <w:sz w:val="24"/>
          <w:szCs w:val="24"/>
        </w:rPr>
        <w:t>zystkich wydatków oznaczonych w </w:t>
      </w:r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>opisie wydatku „COVID-19” potwierdz</w:t>
      </w:r>
      <w:r w:rsidR="00403C83" w:rsidRPr="00403C83">
        <w:rPr>
          <w:rFonts w:ascii="Times New Roman" w:eastAsia="Times New Roman" w:hAnsi="Times New Roman" w:cs="Times New Roman"/>
          <w:bCs/>
          <w:sz w:val="24"/>
          <w:szCs w:val="24"/>
        </w:rPr>
        <w:t>ającą</w:t>
      </w:r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 xml:space="preserve"> spełnieni</w:t>
      </w:r>
      <w:r w:rsidR="00403C83" w:rsidRPr="00403C83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 xml:space="preserve"> trzech obowiązkowych warunków </w:t>
      </w:r>
      <w:proofErr w:type="spellStart"/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>kwalifikowalności</w:t>
      </w:r>
      <w:proofErr w:type="spellEnd"/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 xml:space="preserve"> takich wydatków, wskazanych w pkt. II </w:t>
      </w:r>
      <w:proofErr w:type="spellStart"/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>ppkt</w:t>
      </w:r>
      <w:proofErr w:type="spellEnd"/>
      <w:r w:rsidRPr="00403C83"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  <w:r w:rsidR="00403C83" w:rsidRPr="00403C83">
        <w:rPr>
          <w:rFonts w:ascii="Times New Roman" w:eastAsia="Times New Roman" w:hAnsi="Times New Roman" w:cs="Times New Roman"/>
          <w:bCs/>
          <w:sz w:val="24"/>
          <w:szCs w:val="24"/>
        </w:rPr>
        <w:t xml:space="preserve">, w tym: </w:t>
      </w:r>
      <w:r w:rsidR="00403C83" w:rsidRPr="00403C83">
        <w:rPr>
          <w:rFonts w:ascii="Times New Roman" w:hAnsi="Times New Roman" w:cs="Times New Roman"/>
          <w:color w:val="000000"/>
          <w:sz w:val="24"/>
          <w:szCs w:val="24"/>
        </w:rPr>
        <w:t>umowę z wykonawcą, zlecenie wykonania usługi/dostawy, korespondencję dotyczącą odwołania wydarzenia, korespondencję dotyczącą negocjacji pomiędzy Beneficjentem a wykonawcą co do zapłaty oraz dokumentację finansową.</w:t>
      </w:r>
    </w:p>
    <w:p w:rsidR="5B6D614F" w:rsidRPr="00345BA5" w:rsidRDefault="5B6D614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1ACC" w:rsidRPr="00345BA5" w:rsidRDefault="00DD1ACC" w:rsidP="00DD1AC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Jednocześnie IP informuje, iż wydatek poniesiony </w:t>
      </w:r>
      <w:r w:rsidR="00403C83">
        <w:rPr>
          <w:rFonts w:ascii="Times New Roman" w:eastAsia="Times New Roman" w:hAnsi="Times New Roman" w:cs="Times New Roman"/>
          <w:sz w:val="24"/>
          <w:szCs w:val="24"/>
        </w:rPr>
        <w:t xml:space="preserve">w związku z </w:t>
      </w:r>
      <w:r>
        <w:rPr>
          <w:rFonts w:ascii="Times New Roman" w:eastAsia="Times New Roman" w:hAnsi="Times New Roman" w:cs="Times New Roman"/>
          <w:sz w:val="24"/>
          <w:szCs w:val="24"/>
        </w:rPr>
        <w:t>działanie</w:t>
      </w:r>
      <w:r w:rsidR="00403C83">
        <w:rPr>
          <w:rFonts w:ascii="Times New Roman" w:eastAsia="Times New Roman" w:hAnsi="Times New Roman" w:cs="Times New Roman"/>
          <w:sz w:val="24"/>
          <w:szCs w:val="24"/>
        </w:rPr>
        <w:t xml:space="preserve">m przesuniętym w czasie w stosunku do pierwotnego terminu jego realizacji, np. na bilety lotnicze </w:t>
      </w:r>
      <w:proofErr w:type="spellStart"/>
      <w:r w:rsidR="00403C83">
        <w:rPr>
          <w:rFonts w:ascii="Times New Roman" w:eastAsia="Times New Roman" w:hAnsi="Times New Roman" w:cs="Times New Roman"/>
          <w:sz w:val="24"/>
          <w:szCs w:val="24"/>
        </w:rPr>
        <w:t>przebukowane</w:t>
      </w:r>
      <w:proofErr w:type="spellEnd"/>
      <w:r w:rsidR="00403C83">
        <w:rPr>
          <w:rFonts w:ascii="Times New Roman" w:eastAsia="Times New Roman" w:hAnsi="Times New Roman" w:cs="Times New Roman"/>
          <w:sz w:val="24"/>
          <w:szCs w:val="24"/>
        </w:rPr>
        <w:t xml:space="preserve"> na późniejszy termin, które jeszcze nie zostały wykorzystane, nie stanowi wydatku związanego z odwołaniem wydarzenia/działania w projekcie i nie należy go sprawozdawać w sposób opisany powyżej.</w:t>
      </w:r>
      <w:r w:rsidR="002E200F">
        <w:rPr>
          <w:rFonts w:ascii="Times New Roman" w:eastAsia="Times New Roman" w:hAnsi="Times New Roman" w:cs="Times New Roman"/>
          <w:sz w:val="24"/>
          <w:szCs w:val="24"/>
        </w:rPr>
        <w:t xml:space="preserve"> Dotyczy to również wydatków typu opłat manipulacyjnych związanych z przesunięciem danego wydarzenia/działania w czasie, np. opłaty za </w:t>
      </w:r>
      <w:proofErr w:type="spellStart"/>
      <w:r w:rsidR="002E200F">
        <w:rPr>
          <w:rFonts w:ascii="Times New Roman" w:eastAsia="Times New Roman" w:hAnsi="Times New Roman" w:cs="Times New Roman"/>
          <w:sz w:val="24"/>
          <w:szCs w:val="24"/>
        </w:rPr>
        <w:t>przebukowanie</w:t>
      </w:r>
      <w:proofErr w:type="spellEnd"/>
      <w:r w:rsidR="002E200F">
        <w:rPr>
          <w:rFonts w:ascii="Times New Roman" w:eastAsia="Times New Roman" w:hAnsi="Times New Roman" w:cs="Times New Roman"/>
          <w:sz w:val="24"/>
          <w:szCs w:val="24"/>
        </w:rPr>
        <w:t xml:space="preserve"> biletów.</w:t>
      </w:r>
      <w:r w:rsidR="00403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3C83" w:rsidRPr="00345BA5" w:rsidRDefault="00403C83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7E33" w:rsidRPr="00345BA5" w:rsidRDefault="00B07E33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7E33" w:rsidRDefault="00B07E33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00F" w:rsidRPr="00345BA5" w:rsidRDefault="002E200F" w:rsidP="00345BA5">
      <w:pPr>
        <w:spacing w:after="12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FBD6273" w:rsidRPr="00345BA5" w:rsidRDefault="007A55E7" w:rsidP="00345BA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anchor="_ftnref1">
        <w:r w:rsidR="2CC9E827" w:rsidRPr="000C30D9">
          <w:rPr>
            <w:rStyle w:val="Hipercze"/>
            <w:rFonts w:ascii="Times New Roman" w:eastAsia="Calibri" w:hAnsi="Times New Roman" w:cs="Times New Roman"/>
            <w:sz w:val="20"/>
            <w:szCs w:val="20"/>
            <w:vertAlign w:val="superscript"/>
          </w:rPr>
          <w:t>[1]</w:t>
        </w:r>
      </w:hyperlink>
      <w:r w:rsidR="2CC9E827" w:rsidRPr="000C30D9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Uchwała SN z dnia 13 grudnia 2007 r., III CZP 100/2007, </w:t>
      </w:r>
      <w:proofErr w:type="spellStart"/>
      <w:r w:rsidR="2CC9E827" w:rsidRPr="000C30D9">
        <w:rPr>
          <w:rFonts w:ascii="Times New Roman" w:eastAsia="Calibri" w:hAnsi="Times New Roman" w:cs="Times New Roman"/>
          <w:sz w:val="20"/>
          <w:szCs w:val="20"/>
        </w:rPr>
        <w:t>LexPolonica</w:t>
      </w:r>
      <w:proofErr w:type="spellEnd"/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 1765007; Postanowienie SN </w:t>
      </w:r>
      <w:r w:rsidR="00B07E33" w:rsidRPr="000C30D9">
        <w:rPr>
          <w:rFonts w:ascii="Times New Roman" w:eastAsia="Calibri" w:hAnsi="Times New Roman" w:cs="Times New Roman"/>
          <w:sz w:val="20"/>
          <w:szCs w:val="20"/>
        </w:rPr>
        <w:br/>
      </w:r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z dnia 16 listopada 2005 r., V CK 325/2005, </w:t>
      </w:r>
      <w:proofErr w:type="spellStart"/>
      <w:r w:rsidR="2CC9E827" w:rsidRPr="000C30D9">
        <w:rPr>
          <w:rFonts w:ascii="Times New Roman" w:eastAsia="Calibri" w:hAnsi="Times New Roman" w:cs="Times New Roman"/>
          <w:sz w:val="20"/>
          <w:szCs w:val="20"/>
        </w:rPr>
        <w:t>LexPolonica</w:t>
      </w:r>
      <w:proofErr w:type="spellEnd"/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 391769; Wyrok SN z dnia 26 czerwca 1980 r., II CR 164/80, </w:t>
      </w:r>
      <w:proofErr w:type="spellStart"/>
      <w:r w:rsidR="2CC9E827" w:rsidRPr="000C30D9">
        <w:rPr>
          <w:rFonts w:ascii="Times New Roman" w:eastAsia="Calibri" w:hAnsi="Times New Roman" w:cs="Times New Roman"/>
          <w:sz w:val="20"/>
          <w:szCs w:val="20"/>
        </w:rPr>
        <w:t>LexPolonica</w:t>
      </w:r>
      <w:proofErr w:type="spellEnd"/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 296151; wyrok SN z dnia 28 września  1971 r., II CR 388/71, </w:t>
      </w:r>
      <w:proofErr w:type="spellStart"/>
      <w:r w:rsidR="2CC9E827" w:rsidRPr="000C30D9">
        <w:rPr>
          <w:rFonts w:ascii="Times New Roman" w:eastAsia="Calibri" w:hAnsi="Times New Roman" w:cs="Times New Roman"/>
          <w:sz w:val="20"/>
          <w:szCs w:val="20"/>
        </w:rPr>
        <w:t>LexPolonica</w:t>
      </w:r>
      <w:proofErr w:type="spellEnd"/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 296084; </w:t>
      </w:r>
      <w:r w:rsidR="00B07E33" w:rsidRPr="000C30D9">
        <w:rPr>
          <w:rFonts w:ascii="Times New Roman" w:eastAsia="Calibri" w:hAnsi="Times New Roman" w:cs="Times New Roman"/>
          <w:sz w:val="20"/>
          <w:szCs w:val="20"/>
        </w:rPr>
        <w:br/>
      </w:r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a także: Wyrok TK z dnia 31 marca 2008 r., P. 20/2007, </w:t>
      </w:r>
      <w:proofErr w:type="spellStart"/>
      <w:r w:rsidR="2CC9E827" w:rsidRPr="000C30D9">
        <w:rPr>
          <w:rFonts w:ascii="Times New Roman" w:eastAsia="Calibri" w:hAnsi="Times New Roman" w:cs="Times New Roman"/>
          <w:sz w:val="20"/>
          <w:szCs w:val="20"/>
        </w:rPr>
        <w:t>LexPolonica</w:t>
      </w:r>
      <w:proofErr w:type="spellEnd"/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 1872956; Wyrok WSA w Szczecinie </w:t>
      </w:r>
      <w:r w:rsidR="00B07E33" w:rsidRPr="000C30D9">
        <w:rPr>
          <w:rFonts w:ascii="Times New Roman" w:eastAsia="Calibri" w:hAnsi="Times New Roman" w:cs="Times New Roman"/>
          <w:sz w:val="20"/>
          <w:szCs w:val="20"/>
        </w:rPr>
        <w:br/>
      </w:r>
      <w:r w:rsidR="2CC9E827" w:rsidRPr="000C30D9">
        <w:rPr>
          <w:rFonts w:ascii="Times New Roman" w:eastAsia="Calibri" w:hAnsi="Times New Roman" w:cs="Times New Roman"/>
          <w:sz w:val="20"/>
          <w:szCs w:val="20"/>
        </w:rPr>
        <w:t>z dnia 31 stycznia 2008 r., I SA/</w:t>
      </w:r>
      <w:proofErr w:type="spellStart"/>
      <w:r w:rsidR="2CC9E827" w:rsidRPr="000C30D9">
        <w:rPr>
          <w:rFonts w:ascii="Times New Roman" w:eastAsia="Calibri" w:hAnsi="Times New Roman" w:cs="Times New Roman"/>
          <w:sz w:val="20"/>
          <w:szCs w:val="20"/>
        </w:rPr>
        <w:t>Sz</w:t>
      </w:r>
      <w:proofErr w:type="spellEnd"/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 701/2007, </w:t>
      </w:r>
      <w:proofErr w:type="spellStart"/>
      <w:r w:rsidR="2CC9E827" w:rsidRPr="000C30D9">
        <w:rPr>
          <w:rFonts w:ascii="Times New Roman" w:eastAsia="Calibri" w:hAnsi="Times New Roman" w:cs="Times New Roman"/>
          <w:sz w:val="20"/>
          <w:szCs w:val="20"/>
        </w:rPr>
        <w:t>LexPolonica</w:t>
      </w:r>
      <w:proofErr w:type="spellEnd"/>
      <w:r w:rsidR="2CC9E827" w:rsidRPr="000C30D9">
        <w:rPr>
          <w:rFonts w:ascii="Times New Roman" w:eastAsia="Calibri" w:hAnsi="Times New Roman" w:cs="Times New Roman"/>
          <w:sz w:val="20"/>
          <w:szCs w:val="20"/>
        </w:rPr>
        <w:t xml:space="preserve"> 2005494.  </w:t>
      </w:r>
    </w:p>
    <w:sectPr w:rsidR="0FBD6273" w:rsidRPr="00345BA5" w:rsidSect="00B51F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3508A7D" w15:done="0"/>
  <w15:commentEx w15:paraId="141BDC7C" w15:paraIdParent="63508A7D" w15:done="0"/>
  <w15:commentEx w15:paraId="06861634" w15:paraIdParent="63508A7D" w15:done="0"/>
  <w15:commentEx w15:paraId="7577DA9E" w15:paraIdParent="63508A7D" w15:done="0"/>
  <w15:commentEx w15:paraId="4FA8C4C4" w15:done="0"/>
  <w15:commentEx w15:paraId="7F0F3543" w15:paraIdParent="4FA8C4C4" w15:done="0"/>
  <w15:commentEx w15:paraId="63508A7E" w15:done="0"/>
  <w15:commentEx w15:paraId="29A0841C" w15:paraIdParent="63508A7E" w15:done="0"/>
  <w15:commentEx w15:paraId="1450C073" w15:paraIdParent="63508A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5132D" w16cex:dateUtc="2020-05-12T10:21:00Z"/>
  <w16cex:commentExtensible w16cex:durableId="22651860" w16cex:dateUtc="2020-05-12T10:43:00Z"/>
  <w16cex:commentExtensible w16cex:durableId="22651BD2" w16cex:dateUtc="2020-05-12T10:57:00Z"/>
  <w16cex:commentExtensible w16cex:durableId="226514B5" w16cex:dateUtc="2020-05-12T10:27:00Z"/>
  <w16cex:commentExtensible w16cex:durableId="22651CA7" w16cex:dateUtc="2020-05-12T11:01:00Z"/>
  <w16cex:commentExtensible w16cex:durableId="22651507" w16cex:dateUtc="2020-05-12T10:28:00Z"/>
  <w16cex:commentExtensible w16cex:durableId="22651E71" w16cex:dateUtc="2020-05-12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508A7D" w16cid:durableId="226512E1"/>
  <w16cid:commentId w16cid:paraId="141BDC7C" w16cid:durableId="2265132D"/>
  <w16cid:commentId w16cid:paraId="06861634" w16cid:durableId="22651860"/>
  <w16cid:commentId w16cid:paraId="7577DA9E" w16cid:durableId="22651BD2"/>
  <w16cid:commentId w16cid:paraId="4FA8C4C4" w16cid:durableId="226514B5"/>
  <w16cid:commentId w16cid:paraId="7F0F3543" w16cid:durableId="22651CA7"/>
  <w16cid:commentId w16cid:paraId="63508A7E" w16cid:durableId="226512E2"/>
  <w16cid:commentId w16cid:paraId="29A0841C" w16cid:durableId="22651507"/>
  <w16cid:commentId w16cid:paraId="1450C073" w16cid:durableId="22651E7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05A93"/>
    <w:multiLevelType w:val="hybridMultilevel"/>
    <w:tmpl w:val="E5884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115DC"/>
    <w:multiLevelType w:val="hybridMultilevel"/>
    <w:tmpl w:val="7D68969E"/>
    <w:lvl w:ilvl="0" w:tplc="BFDC0712">
      <w:start w:val="1"/>
      <w:numFmt w:val="upperRoman"/>
      <w:lvlText w:val="%1."/>
      <w:lvlJc w:val="left"/>
      <w:pPr>
        <w:ind w:left="720" w:hanging="360"/>
      </w:pPr>
    </w:lvl>
    <w:lvl w:ilvl="1" w:tplc="87A68AC6">
      <w:start w:val="1"/>
      <w:numFmt w:val="lowerLetter"/>
      <w:lvlText w:val="%2."/>
      <w:lvlJc w:val="left"/>
      <w:pPr>
        <w:ind w:left="1440" w:hanging="360"/>
      </w:pPr>
    </w:lvl>
    <w:lvl w:ilvl="2" w:tplc="3190D7D4">
      <w:start w:val="1"/>
      <w:numFmt w:val="lowerRoman"/>
      <w:lvlText w:val="%3."/>
      <w:lvlJc w:val="right"/>
      <w:pPr>
        <w:ind w:left="2160" w:hanging="180"/>
      </w:pPr>
    </w:lvl>
    <w:lvl w:ilvl="3" w:tplc="84703024">
      <w:start w:val="1"/>
      <w:numFmt w:val="decimal"/>
      <w:lvlText w:val="%4."/>
      <w:lvlJc w:val="left"/>
      <w:pPr>
        <w:ind w:left="2880" w:hanging="360"/>
      </w:pPr>
    </w:lvl>
    <w:lvl w:ilvl="4" w:tplc="378E9554">
      <w:start w:val="1"/>
      <w:numFmt w:val="lowerLetter"/>
      <w:lvlText w:val="%5."/>
      <w:lvlJc w:val="left"/>
      <w:pPr>
        <w:ind w:left="3600" w:hanging="360"/>
      </w:pPr>
    </w:lvl>
    <w:lvl w:ilvl="5" w:tplc="35BE02A8">
      <w:start w:val="1"/>
      <w:numFmt w:val="lowerRoman"/>
      <w:lvlText w:val="%6."/>
      <w:lvlJc w:val="right"/>
      <w:pPr>
        <w:ind w:left="4320" w:hanging="180"/>
      </w:pPr>
    </w:lvl>
    <w:lvl w:ilvl="6" w:tplc="2B1C3FDA">
      <w:start w:val="1"/>
      <w:numFmt w:val="decimal"/>
      <w:lvlText w:val="%7."/>
      <w:lvlJc w:val="left"/>
      <w:pPr>
        <w:ind w:left="5040" w:hanging="360"/>
      </w:pPr>
    </w:lvl>
    <w:lvl w:ilvl="7" w:tplc="F6E2C77C">
      <w:start w:val="1"/>
      <w:numFmt w:val="lowerLetter"/>
      <w:lvlText w:val="%8."/>
      <w:lvlJc w:val="left"/>
      <w:pPr>
        <w:ind w:left="5760" w:hanging="360"/>
      </w:pPr>
    </w:lvl>
    <w:lvl w:ilvl="8" w:tplc="67A22B4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B14AB"/>
    <w:multiLevelType w:val="hybridMultilevel"/>
    <w:tmpl w:val="DAB4A3E6"/>
    <w:lvl w:ilvl="0" w:tplc="9540618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A6CD9"/>
    <w:multiLevelType w:val="hybridMultilevel"/>
    <w:tmpl w:val="2DF8E694"/>
    <w:lvl w:ilvl="0" w:tplc="677A08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D961DF4">
      <w:start w:val="1"/>
      <w:numFmt w:val="lowerLetter"/>
      <w:lvlText w:val="%2."/>
      <w:lvlJc w:val="left"/>
      <w:pPr>
        <w:ind w:left="1440" w:hanging="360"/>
      </w:pPr>
    </w:lvl>
    <w:lvl w:ilvl="2" w:tplc="8A429BEA">
      <w:start w:val="1"/>
      <w:numFmt w:val="lowerRoman"/>
      <w:lvlText w:val="%3."/>
      <w:lvlJc w:val="right"/>
      <w:pPr>
        <w:ind w:left="2160" w:hanging="180"/>
      </w:pPr>
    </w:lvl>
    <w:lvl w:ilvl="3" w:tplc="09568D3A">
      <w:start w:val="1"/>
      <w:numFmt w:val="decimal"/>
      <w:lvlText w:val="%4."/>
      <w:lvlJc w:val="left"/>
      <w:pPr>
        <w:ind w:left="2880" w:hanging="360"/>
      </w:pPr>
    </w:lvl>
    <w:lvl w:ilvl="4" w:tplc="87FC3AB4">
      <w:start w:val="1"/>
      <w:numFmt w:val="lowerLetter"/>
      <w:lvlText w:val="%5."/>
      <w:lvlJc w:val="left"/>
      <w:pPr>
        <w:ind w:left="3600" w:hanging="360"/>
      </w:pPr>
    </w:lvl>
    <w:lvl w:ilvl="5" w:tplc="7122BBB0">
      <w:start w:val="1"/>
      <w:numFmt w:val="lowerRoman"/>
      <w:lvlText w:val="%6."/>
      <w:lvlJc w:val="right"/>
      <w:pPr>
        <w:ind w:left="4320" w:hanging="180"/>
      </w:pPr>
    </w:lvl>
    <w:lvl w:ilvl="6" w:tplc="EAF41FCE">
      <w:start w:val="1"/>
      <w:numFmt w:val="decimal"/>
      <w:lvlText w:val="%7."/>
      <w:lvlJc w:val="left"/>
      <w:pPr>
        <w:ind w:left="5040" w:hanging="360"/>
      </w:pPr>
    </w:lvl>
    <w:lvl w:ilvl="7" w:tplc="94F4E0EC">
      <w:start w:val="1"/>
      <w:numFmt w:val="lowerLetter"/>
      <w:lvlText w:val="%8."/>
      <w:lvlJc w:val="left"/>
      <w:pPr>
        <w:ind w:left="5760" w:hanging="360"/>
      </w:pPr>
    </w:lvl>
    <w:lvl w:ilvl="8" w:tplc="4C1E67D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4720C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1E8DB02">
      <w:start w:val="1"/>
      <w:numFmt w:val="lowerLetter"/>
      <w:lvlText w:val="%2."/>
      <w:lvlJc w:val="left"/>
      <w:pPr>
        <w:ind w:left="1440" w:hanging="360"/>
      </w:pPr>
    </w:lvl>
    <w:lvl w:ilvl="2" w:tplc="560EEEF4">
      <w:start w:val="1"/>
      <w:numFmt w:val="lowerRoman"/>
      <w:lvlText w:val="%3."/>
      <w:lvlJc w:val="right"/>
      <w:pPr>
        <w:ind w:left="2160" w:hanging="180"/>
      </w:pPr>
    </w:lvl>
    <w:lvl w:ilvl="3" w:tplc="8D0A37B2">
      <w:start w:val="1"/>
      <w:numFmt w:val="decimal"/>
      <w:lvlText w:val="%4."/>
      <w:lvlJc w:val="left"/>
      <w:pPr>
        <w:ind w:left="2880" w:hanging="360"/>
      </w:pPr>
    </w:lvl>
    <w:lvl w:ilvl="4" w:tplc="2F984628">
      <w:start w:val="1"/>
      <w:numFmt w:val="lowerLetter"/>
      <w:lvlText w:val="%5."/>
      <w:lvlJc w:val="left"/>
      <w:pPr>
        <w:ind w:left="3600" w:hanging="360"/>
      </w:pPr>
    </w:lvl>
    <w:lvl w:ilvl="5" w:tplc="EBA4B96A">
      <w:start w:val="1"/>
      <w:numFmt w:val="lowerRoman"/>
      <w:lvlText w:val="%6."/>
      <w:lvlJc w:val="right"/>
      <w:pPr>
        <w:ind w:left="4320" w:hanging="180"/>
      </w:pPr>
    </w:lvl>
    <w:lvl w:ilvl="6" w:tplc="B1C6812A">
      <w:start w:val="1"/>
      <w:numFmt w:val="decimal"/>
      <w:lvlText w:val="%7."/>
      <w:lvlJc w:val="left"/>
      <w:pPr>
        <w:ind w:left="5040" w:hanging="360"/>
      </w:pPr>
    </w:lvl>
    <w:lvl w:ilvl="7" w:tplc="9A22B3DC">
      <w:start w:val="1"/>
      <w:numFmt w:val="lowerLetter"/>
      <w:lvlText w:val="%8."/>
      <w:lvlJc w:val="left"/>
      <w:pPr>
        <w:ind w:left="5760" w:hanging="360"/>
      </w:pPr>
    </w:lvl>
    <w:lvl w:ilvl="8" w:tplc="8F461DC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B13AE"/>
    <w:multiLevelType w:val="hybridMultilevel"/>
    <w:tmpl w:val="44303E82"/>
    <w:lvl w:ilvl="0" w:tplc="886072DE">
      <w:start w:val="1"/>
      <w:numFmt w:val="decimal"/>
      <w:lvlText w:val="%1."/>
      <w:lvlJc w:val="left"/>
      <w:pPr>
        <w:ind w:left="720" w:hanging="360"/>
      </w:pPr>
    </w:lvl>
    <w:lvl w:ilvl="1" w:tplc="074E8698">
      <w:start w:val="1"/>
      <w:numFmt w:val="lowerLetter"/>
      <w:lvlText w:val="%2."/>
      <w:lvlJc w:val="left"/>
      <w:pPr>
        <w:ind w:left="1440" w:hanging="360"/>
      </w:pPr>
    </w:lvl>
    <w:lvl w:ilvl="2" w:tplc="DFD6A5D6">
      <w:start w:val="1"/>
      <w:numFmt w:val="lowerRoman"/>
      <w:lvlText w:val="%3."/>
      <w:lvlJc w:val="right"/>
      <w:pPr>
        <w:ind w:left="2160" w:hanging="180"/>
      </w:pPr>
    </w:lvl>
    <w:lvl w:ilvl="3" w:tplc="763EB048">
      <w:start w:val="1"/>
      <w:numFmt w:val="decimal"/>
      <w:lvlText w:val="%4."/>
      <w:lvlJc w:val="left"/>
      <w:pPr>
        <w:ind w:left="2880" w:hanging="360"/>
      </w:pPr>
    </w:lvl>
    <w:lvl w:ilvl="4" w:tplc="4AAE7FC0">
      <w:start w:val="1"/>
      <w:numFmt w:val="lowerLetter"/>
      <w:lvlText w:val="%5."/>
      <w:lvlJc w:val="left"/>
      <w:pPr>
        <w:ind w:left="3600" w:hanging="360"/>
      </w:pPr>
    </w:lvl>
    <w:lvl w:ilvl="5" w:tplc="5BBA7610">
      <w:start w:val="1"/>
      <w:numFmt w:val="lowerRoman"/>
      <w:lvlText w:val="%6."/>
      <w:lvlJc w:val="right"/>
      <w:pPr>
        <w:ind w:left="4320" w:hanging="180"/>
      </w:pPr>
    </w:lvl>
    <w:lvl w:ilvl="6" w:tplc="DFAA01DA">
      <w:start w:val="1"/>
      <w:numFmt w:val="decimal"/>
      <w:lvlText w:val="%7."/>
      <w:lvlJc w:val="left"/>
      <w:pPr>
        <w:ind w:left="5040" w:hanging="360"/>
      </w:pPr>
    </w:lvl>
    <w:lvl w:ilvl="7" w:tplc="75C0B2AE">
      <w:start w:val="1"/>
      <w:numFmt w:val="lowerLetter"/>
      <w:lvlText w:val="%8."/>
      <w:lvlJc w:val="left"/>
      <w:pPr>
        <w:ind w:left="5760" w:hanging="360"/>
      </w:pPr>
    </w:lvl>
    <w:lvl w:ilvl="8" w:tplc="560ED65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9968EA"/>
    <w:multiLevelType w:val="hybridMultilevel"/>
    <w:tmpl w:val="51627E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riusz Pietrzyk">
    <w15:presenceInfo w15:providerId="AD" w15:userId="S::dariusz_pietrzyk@cpe.gov.pl::fb2bd311-99c4-45c0-a729-7662caf0bd42"/>
  </w15:person>
  <w15:person w15:author="Anna Elżbieta Strzała">
    <w15:presenceInfo w15:providerId="AD" w15:userId="S::anna_strzala@cpe.gov.pl::b6718918-85b2-47bd-a30f-130338ae82bd"/>
  </w15:person>
  <w15:person w15:author="Dorota Bartosiewicz-Bryll">
    <w15:presenceInfo w15:providerId="AD" w15:userId="S::dorota_bartosiewicz@cpe.gov.pl::2fedfbc0-04f3-4991-8a08-23ba441a6137"/>
  </w15:person>
  <w15:person w15:author="Paulina Chodyra">
    <w15:presenceInfo w15:providerId="AD" w15:userId="S::paulina_chodyra@cpe.gov.pl::1cba8a32-9f0b-45c7-9d41-121f81eec47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1493629F"/>
    <w:rsid w:val="00007774"/>
    <w:rsid w:val="00032CCB"/>
    <w:rsid w:val="00056E87"/>
    <w:rsid w:val="000A119C"/>
    <w:rsid w:val="000B4CFD"/>
    <w:rsid w:val="000C30D9"/>
    <w:rsid w:val="0017153B"/>
    <w:rsid w:val="001841E8"/>
    <w:rsid w:val="00210F07"/>
    <w:rsid w:val="0023701B"/>
    <w:rsid w:val="00250C8A"/>
    <w:rsid w:val="002B0971"/>
    <w:rsid w:val="002B6C90"/>
    <w:rsid w:val="002E200F"/>
    <w:rsid w:val="00345BA5"/>
    <w:rsid w:val="003A4A34"/>
    <w:rsid w:val="003A7FF0"/>
    <w:rsid w:val="00403C83"/>
    <w:rsid w:val="00480270"/>
    <w:rsid w:val="00513A0A"/>
    <w:rsid w:val="00537EEB"/>
    <w:rsid w:val="00542E02"/>
    <w:rsid w:val="00596C36"/>
    <w:rsid w:val="005B2384"/>
    <w:rsid w:val="00613A8A"/>
    <w:rsid w:val="00637707"/>
    <w:rsid w:val="00675381"/>
    <w:rsid w:val="0068019A"/>
    <w:rsid w:val="006950B6"/>
    <w:rsid w:val="006D27D4"/>
    <w:rsid w:val="006E05CD"/>
    <w:rsid w:val="006E6D49"/>
    <w:rsid w:val="007034D5"/>
    <w:rsid w:val="007060E9"/>
    <w:rsid w:val="007239AC"/>
    <w:rsid w:val="00751865"/>
    <w:rsid w:val="007523AA"/>
    <w:rsid w:val="007A55E7"/>
    <w:rsid w:val="008634EE"/>
    <w:rsid w:val="0091167D"/>
    <w:rsid w:val="00917A73"/>
    <w:rsid w:val="00944E1A"/>
    <w:rsid w:val="00974FE4"/>
    <w:rsid w:val="009B12FC"/>
    <w:rsid w:val="00A140C8"/>
    <w:rsid w:val="00A15626"/>
    <w:rsid w:val="00A21522"/>
    <w:rsid w:val="00A558F0"/>
    <w:rsid w:val="00A81B1E"/>
    <w:rsid w:val="00B07E33"/>
    <w:rsid w:val="00B51FAD"/>
    <w:rsid w:val="00BF34F0"/>
    <w:rsid w:val="00C36BF1"/>
    <w:rsid w:val="00C45DAD"/>
    <w:rsid w:val="00C50696"/>
    <w:rsid w:val="00CC0AB3"/>
    <w:rsid w:val="00CE0FC7"/>
    <w:rsid w:val="00CE3F85"/>
    <w:rsid w:val="00D129B5"/>
    <w:rsid w:val="00D405B9"/>
    <w:rsid w:val="00D5421C"/>
    <w:rsid w:val="00D83B5C"/>
    <w:rsid w:val="00D84CE3"/>
    <w:rsid w:val="00D934A1"/>
    <w:rsid w:val="00DB3597"/>
    <w:rsid w:val="00DD1ACC"/>
    <w:rsid w:val="00E2588F"/>
    <w:rsid w:val="00E454C8"/>
    <w:rsid w:val="00E45EB8"/>
    <w:rsid w:val="00E57213"/>
    <w:rsid w:val="00E72FBE"/>
    <w:rsid w:val="00EB1364"/>
    <w:rsid w:val="00F24067"/>
    <w:rsid w:val="00F837F6"/>
    <w:rsid w:val="00FB054C"/>
    <w:rsid w:val="00FB7526"/>
    <w:rsid w:val="01B09C33"/>
    <w:rsid w:val="03673EDE"/>
    <w:rsid w:val="050B1D2F"/>
    <w:rsid w:val="0557048A"/>
    <w:rsid w:val="056BF515"/>
    <w:rsid w:val="069E72A9"/>
    <w:rsid w:val="0819EC4F"/>
    <w:rsid w:val="0F9E862F"/>
    <w:rsid w:val="0FA063E9"/>
    <w:rsid w:val="0FB6435B"/>
    <w:rsid w:val="0FBD6273"/>
    <w:rsid w:val="117D2593"/>
    <w:rsid w:val="11B21F57"/>
    <w:rsid w:val="130295B8"/>
    <w:rsid w:val="13FE1BCF"/>
    <w:rsid w:val="1493629F"/>
    <w:rsid w:val="15792E73"/>
    <w:rsid w:val="16AD3CF7"/>
    <w:rsid w:val="17C37288"/>
    <w:rsid w:val="19AB0200"/>
    <w:rsid w:val="1AD3F87C"/>
    <w:rsid w:val="1BD0DCF3"/>
    <w:rsid w:val="1BE9306C"/>
    <w:rsid w:val="1BF5F9EA"/>
    <w:rsid w:val="1F1A3EF1"/>
    <w:rsid w:val="2326E008"/>
    <w:rsid w:val="26961A5A"/>
    <w:rsid w:val="28D0AB48"/>
    <w:rsid w:val="298DC3D4"/>
    <w:rsid w:val="29916482"/>
    <w:rsid w:val="2B5D12E2"/>
    <w:rsid w:val="2CC9E827"/>
    <w:rsid w:val="2DEB50FD"/>
    <w:rsid w:val="2FEB5B3D"/>
    <w:rsid w:val="300C0421"/>
    <w:rsid w:val="308F1D97"/>
    <w:rsid w:val="31236FCC"/>
    <w:rsid w:val="33A47AAE"/>
    <w:rsid w:val="35B6D0C2"/>
    <w:rsid w:val="38CDDACF"/>
    <w:rsid w:val="3A319451"/>
    <w:rsid w:val="3B16ABEF"/>
    <w:rsid w:val="3BDC871A"/>
    <w:rsid w:val="3C247FFE"/>
    <w:rsid w:val="441E7E8B"/>
    <w:rsid w:val="44C22BB7"/>
    <w:rsid w:val="453DCC93"/>
    <w:rsid w:val="49E6076D"/>
    <w:rsid w:val="4AB0272F"/>
    <w:rsid w:val="4C081E6D"/>
    <w:rsid w:val="4C9489AE"/>
    <w:rsid w:val="4E6620CE"/>
    <w:rsid w:val="509A57CD"/>
    <w:rsid w:val="519B62A1"/>
    <w:rsid w:val="53060275"/>
    <w:rsid w:val="537E67DA"/>
    <w:rsid w:val="54F8F2C3"/>
    <w:rsid w:val="55940715"/>
    <w:rsid w:val="56CFB4D6"/>
    <w:rsid w:val="575155B3"/>
    <w:rsid w:val="57D710B6"/>
    <w:rsid w:val="5B1CC104"/>
    <w:rsid w:val="5B6D614F"/>
    <w:rsid w:val="5F637A0E"/>
    <w:rsid w:val="60F33FD6"/>
    <w:rsid w:val="610CA21C"/>
    <w:rsid w:val="6180BF68"/>
    <w:rsid w:val="61AD4635"/>
    <w:rsid w:val="61AE9307"/>
    <w:rsid w:val="62F8A36D"/>
    <w:rsid w:val="64E2069A"/>
    <w:rsid w:val="6572A241"/>
    <w:rsid w:val="65E08764"/>
    <w:rsid w:val="66591DC5"/>
    <w:rsid w:val="6820F00D"/>
    <w:rsid w:val="68DE4958"/>
    <w:rsid w:val="6A466528"/>
    <w:rsid w:val="6CA58174"/>
    <w:rsid w:val="6CF868EB"/>
    <w:rsid w:val="6CFA94EF"/>
    <w:rsid w:val="6D4765B4"/>
    <w:rsid w:val="72B5CBA6"/>
    <w:rsid w:val="73082B42"/>
    <w:rsid w:val="7347D1BB"/>
    <w:rsid w:val="7355F331"/>
    <w:rsid w:val="73651A30"/>
    <w:rsid w:val="74E63BF2"/>
    <w:rsid w:val="77034224"/>
    <w:rsid w:val="7802ACF4"/>
    <w:rsid w:val="783626A4"/>
    <w:rsid w:val="7BAFF6CC"/>
    <w:rsid w:val="7C86FCCB"/>
    <w:rsid w:val="7E3CCE9A"/>
    <w:rsid w:val="7F788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1F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51F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7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7A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A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MM/Desktop/Nowy%20Dokument%20programu%20Microsoft%20Word%20(2).docx" TargetMode="Externa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file:///C:/Users/MM/Desktop/Nowy%20Dokument%20programu%20Microsoft%20Word%20(2).docx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66888A-9260-4554-9114-85FB54CC1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02CD9-E9A3-4EA4-B2F0-2D321972F9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6B5B73-0617-48A0-8F65-0E91D7D0A6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1667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C:\Users\MM\Desktop\Nowy Dokument programu Microsoft Word (2).docx</vt:lpwstr>
      </vt:variant>
      <vt:variant>
        <vt:lpwstr>_ftnref1</vt:lpwstr>
      </vt:variant>
      <vt:variant>
        <vt:i4>3276806</vt:i4>
      </vt:variant>
      <vt:variant>
        <vt:i4>0</vt:i4>
      </vt:variant>
      <vt:variant>
        <vt:i4>0</vt:i4>
      </vt:variant>
      <vt:variant>
        <vt:i4>5</vt:i4>
      </vt:variant>
      <vt:variant>
        <vt:lpwstr>C:\Users\MM\Desktop\Nowy Dokument programu Microsoft Word (2).docx</vt:lpwstr>
      </vt:variant>
      <vt:variant>
        <vt:lpwstr>_ftn1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Rudnik</dc:creator>
  <cp:lastModifiedBy>Joanna Janiszewska</cp:lastModifiedBy>
  <cp:revision>4</cp:revision>
  <cp:lastPrinted>2020-05-20T09:00:00Z</cp:lastPrinted>
  <dcterms:created xsi:type="dcterms:W3CDTF">2020-05-20T09:00:00Z</dcterms:created>
  <dcterms:modified xsi:type="dcterms:W3CDTF">2020-05-20T09:19:00Z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